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0B75" w14:textId="278DD6D8" w:rsidR="007D4B0C" w:rsidRPr="007D4B0C" w:rsidRDefault="007D4B0C" w:rsidP="007D4B0C">
      <w:pPr>
        <w:pStyle w:val="Heading1"/>
        <w:jc w:val="center"/>
        <w:rPr>
          <w:rFonts w:ascii="Franklin Gothic Book" w:hAnsi="Franklin Gothic Book"/>
        </w:rPr>
      </w:pPr>
      <w:r w:rsidRPr="007D4B0C">
        <w:rPr>
          <w:rFonts w:ascii="Franklin Gothic Book" w:hAnsi="Franklin Gothic Book"/>
        </w:rPr>
        <w:t>Writing Abstracts Exercises</w:t>
      </w:r>
    </w:p>
    <w:p w14:paraId="3DCE6FAB" w14:textId="77777777" w:rsidR="00E7181C" w:rsidRDefault="00E7181C" w:rsidP="007D4B0C">
      <w:pPr>
        <w:pStyle w:val="Heading2"/>
        <w:rPr>
          <w:rFonts w:ascii="Franklin Gothic Book" w:hAnsi="Franklin Gothic Book"/>
        </w:rPr>
      </w:pPr>
    </w:p>
    <w:p w14:paraId="114687B7" w14:textId="3BCC6FEE" w:rsidR="00E7181C" w:rsidRPr="008E6013" w:rsidRDefault="00CC2A5B" w:rsidP="008E6013">
      <w:pPr>
        <w:pStyle w:val="Heading2"/>
        <w:rPr>
          <w:rFonts w:ascii="Franklin Gothic Book" w:hAnsi="Franklin Gothic Book"/>
        </w:rPr>
      </w:pPr>
      <w:r w:rsidRPr="008E6013">
        <w:rPr>
          <w:rFonts w:ascii="Franklin Gothic Book" w:hAnsi="Franklin Gothic Book"/>
        </w:rPr>
        <w:t>Exercise 1</w:t>
      </w:r>
      <w:r w:rsidR="00E7181C" w:rsidRPr="008E6013">
        <w:rPr>
          <w:rFonts w:ascii="Franklin Gothic Book" w:hAnsi="Franklin Gothic Book"/>
        </w:rPr>
        <w:t xml:space="preserve"> (Writing Abstracts slides 1</w:t>
      </w:r>
      <w:r w:rsidR="008E6013">
        <w:rPr>
          <w:rFonts w:ascii="Franklin Gothic Book" w:hAnsi="Franklin Gothic Book"/>
        </w:rPr>
        <w:t>1</w:t>
      </w:r>
      <w:r w:rsidR="00E7181C" w:rsidRPr="008E6013">
        <w:rPr>
          <w:rFonts w:ascii="Franklin Gothic Book" w:hAnsi="Franklin Gothic Book"/>
        </w:rPr>
        <w:t xml:space="preserve"> – 2</w:t>
      </w:r>
      <w:r w:rsidR="008E6013">
        <w:rPr>
          <w:rFonts w:ascii="Franklin Gothic Book" w:hAnsi="Franklin Gothic Book"/>
        </w:rPr>
        <w:t>3</w:t>
      </w:r>
      <w:r w:rsidR="00E7181C" w:rsidRPr="008E6013">
        <w:rPr>
          <w:rFonts w:ascii="Franklin Gothic Book" w:hAnsi="Franklin Gothic Book"/>
        </w:rPr>
        <w:t>)</w:t>
      </w:r>
    </w:p>
    <w:p w14:paraId="4649979B" w14:textId="77777777" w:rsidR="00E7181C" w:rsidRPr="00E7181C" w:rsidRDefault="00E7181C" w:rsidP="00E7181C"/>
    <w:p w14:paraId="4E204836" w14:textId="72DFB480" w:rsidR="00E7181C" w:rsidRPr="00E7181C" w:rsidRDefault="00CC2A5B" w:rsidP="00CC2A5B">
      <w:pPr>
        <w:spacing w:line="360" w:lineRule="auto"/>
        <w:rPr>
          <w:rFonts w:ascii="Franklin Gothic Book" w:hAnsi="Franklin Gothic Book"/>
        </w:rPr>
      </w:pPr>
      <w:r>
        <w:rPr>
          <w:rFonts w:ascii="Franklin Gothic Book" w:hAnsi="Franklin Gothic Book"/>
        </w:rPr>
        <w:t xml:space="preserve">The two abstract samples below describe the same biochemical project. With both samples, identify the introduction, methods, results, and conclusion sections. </w:t>
      </w:r>
      <w:r w:rsidR="007D4B0C">
        <w:rPr>
          <w:rFonts w:ascii="Franklin Gothic Book" w:hAnsi="Franklin Gothic Book"/>
        </w:rPr>
        <w:t>Which sample abstract is better and why?</w:t>
      </w:r>
    </w:p>
    <w:p w14:paraId="44ED8BC0" w14:textId="77BAA386" w:rsidR="00CC2A5B" w:rsidRPr="00CC2A5B" w:rsidRDefault="00CC2A5B" w:rsidP="00CC2A5B">
      <w:pPr>
        <w:spacing w:line="360" w:lineRule="auto"/>
        <w:rPr>
          <w:rFonts w:ascii="Franklin Gothic Book" w:hAnsi="Franklin Gothic Book"/>
          <w:b/>
          <w:bCs/>
        </w:rPr>
      </w:pPr>
      <w:r w:rsidRPr="00CC2A5B">
        <w:rPr>
          <w:rFonts w:ascii="Franklin Gothic Book" w:hAnsi="Franklin Gothic Book"/>
          <w:b/>
          <w:bCs/>
        </w:rPr>
        <w:t xml:space="preserve">Sample 1: </w:t>
      </w:r>
    </w:p>
    <w:p w14:paraId="58DDE575" w14:textId="07BDF2A9" w:rsidR="00CC2A5B" w:rsidRPr="00CC2A5B" w:rsidRDefault="00CC2A5B" w:rsidP="00CC2A5B">
      <w:pPr>
        <w:spacing w:line="360" w:lineRule="auto"/>
        <w:rPr>
          <w:rFonts w:ascii="Franklin Gothic Book" w:hAnsi="Franklin Gothic Book"/>
        </w:rPr>
      </w:pPr>
      <w:r w:rsidRPr="00CC2A5B">
        <w:rPr>
          <w:rFonts w:ascii="Franklin Gothic Book" w:hAnsi="Franklin Gothic Book"/>
        </w:rPr>
        <w:t xml:space="preserve">This experiment will determine what will make enzymes affective and what will make them ineffective. We tested different samples of enzymes in a spectrophotometer and recorded their absorption rates. Six samples were placed in the spectrophotometer but two contained no enzyme; these acted as blanks for the other samples. The four remaining samples contained </w:t>
      </w:r>
      <w:proofErr w:type="spellStart"/>
      <w:r w:rsidRPr="00CC2A5B">
        <w:rPr>
          <w:rFonts w:ascii="Franklin Gothic Book" w:hAnsi="Franklin Gothic Book"/>
        </w:rPr>
        <w:t>Catecholase</w:t>
      </w:r>
      <w:proofErr w:type="spellEnd"/>
      <w:r w:rsidRPr="00CC2A5B">
        <w:rPr>
          <w:rFonts w:ascii="Franklin Gothic Book" w:hAnsi="Franklin Gothic Book"/>
        </w:rPr>
        <w:t xml:space="preserve"> ranging from 0.5 ml to 1.75 m. The second half of the experiment contained four test tubes with a constant amount of </w:t>
      </w:r>
      <w:proofErr w:type="spellStart"/>
      <w:r w:rsidRPr="00CC2A5B">
        <w:rPr>
          <w:rFonts w:ascii="Franklin Gothic Book" w:hAnsi="Franklin Gothic Book"/>
        </w:rPr>
        <w:t>Catecholase</w:t>
      </w:r>
      <w:proofErr w:type="spellEnd"/>
      <w:r w:rsidRPr="00CC2A5B">
        <w:rPr>
          <w:rFonts w:ascii="Franklin Gothic Book" w:hAnsi="Franklin Gothic Book"/>
        </w:rPr>
        <w:t>, but the pH levels ranged from four to eight. It was found that if the enzyme was present in large amounts, then the absorption rate was high, and if the pH level ranged from 6 to eight then the absorption rate was high. Therefore, it can be said that enzymes work well in neutral pH levels and in large amounts.</w:t>
      </w:r>
    </w:p>
    <w:p w14:paraId="53B8AF5D" w14:textId="77777777" w:rsidR="00CC2A5B" w:rsidRPr="00CC2A5B" w:rsidRDefault="00CC2A5B" w:rsidP="00CC2A5B">
      <w:pPr>
        <w:spacing w:line="360" w:lineRule="auto"/>
        <w:rPr>
          <w:rFonts w:ascii="Franklin Gothic Book" w:hAnsi="Franklin Gothic Book"/>
          <w:b/>
          <w:bCs/>
        </w:rPr>
      </w:pPr>
      <w:r w:rsidRPr="00CC2A5B">
        <w:rPr>
          <w:rFonts w:ascii="Franklin Gothic Book" w:hAnsi="Franklin Gothic Book"/>
          <w:b/>
          <w:bCs/>
        </w:rPr>
        <w:t xml:space="preserve">Sample 2: </w:t>
      </w:r>
    </w:p>
    <w:p w14:paraId="09A8286D" w14:textId="5182709E" w:rsidR="00CC2A5B" w:rsidRDefault="00CC2A5B" w:rsidP="00CC2A5B">
      <w:pPr>
        <w:spacing w:line="360" w:lineRule="auto"/>
        <w:rPr>
          <w:rFonts w:ascii="Franklin Gothic Book" w:hAnsi="Franklin Gothic Book"/>
        </w:rPr>
      </w:pPr>
      <w:r w:rsidRPr="00CC2A5B">
        <w:rPr>
          <w:rFonts w:ascii="Franklin Gothic Book" w:hAnsi="Franklin Gothic Book"/>
        </w:rPr>
        <w:t xml:space="preserve">This experiment was performed to determine the factors that positively influence enzyme reaction rates in cellular activities since some enzymes seem to be more effective than others. </w:t>
      </w:r>
      <w:proofErr w:type="spellStart"/>
      <w:r w:rsidRPr="00CC2A5B">
        <w:rPr>
          <w:rFonts w:ascii="Franklin Gothic Book" w:hAnsi="Franklin Gothic Book"/>
        </w:rPr>
        <w:t>Catecholase</w:t>
      </w:r>
      <w:proofErr w:type="spellEnd"/>
      <w:r w:rsidRPr="00CC2A5B">
        <w:rPr>
          <w:rFonts w:ascii="Franklin Gothic Book" w:hAnsi="Franklin Gothic Book"/>
        </w:rPr>
        <w:t xml:space="preserve"> enzyme activity was measured through its absorption rate in a spectrophotometer, using light with a wavelength of 540 nm. We compared the absorbance rates in samples with varying enzyme concentrations and a constant pH of 7, and with samples with constant enzyme concentration and varying pH levels. The samples with the highest enzyme concentration had the greatest absorption rate of 95 percent compared to the sample with the lowest concentration and an absorption rate of 24 percent. This suggests that a higher concentration of enzymes leads to a greater product production rate. The samples with a pH between six and eight had the greatest absorption rate of 70 percent compared to an absorption rate of 15 percent with a pH of 4; this suggests that </w:t>
      </w:r>
      <w:proofErr w:type="spellStart"/>
      <w:r w:rsidRPr="00CC2A5B">
        <w:rPr>
          <w:rFonts w:ascii="Franklin Gothic Book" w:hAnsi="Franklin Gothic Book"/>
        </w:rPr>
        <w:t>Catecholase</w:t>
      </w:r>
      <w:proofErr w:type="spellEnd"/>
      <w:r w:rsidRPr="00CC2A5B">
        <w:rPr>
          <w:rFonts w:ascii="Franklin Gothic Book" w:hAnsi="Franklin Gothic Book"/>
        </w:rPr>
        <w:t xml:space="preserve"> is most effective in a neutral pH ranging from six to eight.</w:t>
      </w:r>
    </w:p>
    <w:p w14:paraId="5926D055" w14:textId="77777777" w:rsidR="00CC2A5B" w:rsidRPr="00CC2A5B" w:rsidRDefault="00CC2A5B" w:rsidP="00CC2A5B">
      <w:pPr>
        <w:pStyle w:val="NormalWeb"/>
        <w:spacing w:before="0" w:beforeAutospacing="0" w:after="0" w:afterAutospacing="0"/>
        <w:rPr>
          <w:rFonts w:ascii="Franklin Gothic Book" w:hAnsi="Franklin Gothic Book"/>
          <w:sz w:val="22"/>
          <w:szCs w:val="22"/>
        </w:rPr>
      </w:pPr>
      <w:r w:rsidRPr="00CC2A5B">
        <w:rPr>
          <w:rFonts w:ascii="Franklin Gothic Book" w:eastAsia="Arial" w:hAnsi="Franklin Gothic Book" w:cs="Arial"/>
          <w:color w:val="0070C0"/>
          <w:sz w:val="22"/>
          <w:szCs w:val="22"/>
        </w:rPr>
        <w:t>University of Richmond Writing Center: Writer’s Web http://writing2.richmond.edu/writing/wweb/biology/abstract.html</w:t>
      </w:r>
    </w:p>
    <w:p w14:paraId="4E7C4D9A" w14:textId="77777777" w:rsidR="00CC2A5B" w:rsidRPr="00CC2A5B" w:rsidRDefault="00CC2A5B" w:rsidP="00CC2A5B">
      <w:pPr>
        <w:spacing w:line="360" w:lineRule="auto"/>
        <w:rPr>
          <w:rFonts w:ascii="Franklin Gothic Book" w:hAnsi="Franklin Gothic Book"/>
        </w:rPr>
      </w:pPr>
    </w:p>
    <w:p w14:paraId="715AC013" w14:textId="629E0CF1" w:rsidR="005111AE" w:rsidRPr="008E6013" w:rsidRDefault="005111AE" w:rsidP="008E6013">
      <w:pPr>
        <w:pStyle w:val="Heading2"/>
        <w:rPr>
          <w:rFonts w:ascii="Franklin Gothic Book" w:hAnsi="Franklin Gothic Book"/>
          <w:i/>
          <w:iCs/>
        </w:rPr>
      </w:pPr>
      <w:bookmarkStart w:id="0" w:name="_Hlk85396808"/>
      <w:r w:rsidRPr="008E6013">
        <w:rPr>
          <w:rFonts w:ascii="Franklin Gothic Book" w:hAnsi="Franklin Gothic Book"/>
        </w:rPr>
        <w:lastRenderedPageBreak/>
        <w:t>Exercise 2 (Writing Abstracts slide 2</w:t>
      </w:r>
      <w:r w:rsidR="008E6013">
        <w:rPr>
          <w:rFonts w:ascii="Franklin Gothic Book" w:hAnsi="Franklin Gothic Book"/>
        </w:rPr>
        <w:t>5</w:t>
      </w:r>
      <w:r w:rsidRPr="008E6013">
        <w:rPr>
          <w:rFonts w:ascii="Franklin Gothic Book" w:hAnsi="Franklin Gothic Book"/>
        </w:rPr>
        <w:t>)</w:t>
      </w:r>
    </w:p>
    <w:p w14:paraId="4187810E" w14:textId="77777777" w:rsidR="005111AE" w:rsidRDefault="005111AE" w:rsidP="005111AE">
      <w:pPr>
        <w:rPr>
          <w:rFonts w:ascii="Franklin Gothic Book" w:hAnsi="Franklin Gothic Book"/>
          <w:b/>
          <w:bCs/>
        </w:rPr>
      </w:pPr>
    </w:p>
    <w:p w14:paraId="066EBC26" w14:textId="77777777" w:rsidR="005111AE" w:rsidRDefault="005111AE" w:rsidP="005111AE">
      <w:pPr>
        <w:rPr>
          <w:rFonts w:ascii="Franklin Gothic Book" w:hAnsi="Franklin Gothic Book"/>
        </w:rPr>
      </w:pPr>
      <w:r>
        <w:rPr>
          <w:rFonts w:ascii="Franklin Gothic Book" w:hAnsi="Franklin Gothic Book"/>
        </w:rPr>
        <w:t xml:space="preserve">In the abstract below, identify </w:t>
      </w:r>
      <w:r w:rsidRPr="0042581F">
        <w:rPr>
          <w:rFonts w:ascii="Franklin Gothic Book" w:hAnsi="Franklin Gothic Book"/>
          <w:b/>
          <w:bCs/>
        </w:rPr>
        <w:t>1)</w:t>
      </w:r>
      <w:r>
        <w:rPr>
          <w:rFonts w:ascii="Franklin Gothic Book" w:hAnsi="Franklin Gothic Book"/>
        </w:rPr>
        <w:t xml:space="preserve"> the introduction, methods, results, and conclusion sections, </w:t>
      </w:r>
      <w:r w:rsidRPr="0042581F">
        <w:rPr>
          <w:rFonts w:ascii="Franklin Gothic Book" w:hAnsi="Franklin Gothic Book"/>
          <w:b/>
          <w:bCs/>
        </w:rPr>
        <w:t>2)</w:t>
      </w:r>
      <w:r>
        <w:rPr>
          <w:rFonts w:ascii="Franklin Gothic Book" w:hAnsi="Franklin Gothic Book"/>
        </w:rPr>
        <w:t xml:space="preserve"> number of sentences, </w:t>
      </w:r>
      <w:r w:rsidRPr="0042581F">
        <w:rPr>
          <w:rFonts w:ascii="Franklin Gothic Book" w:hAnsi="Franklin Gothic Book"/>
          <w:b/>
          <w:bCs/>
        </w:rPr>
        <w:t>3)</w:t>
      </w:r>
      <w:r>
        <w:rPr>
          <w:rFonts w:ascii="Franklin Gothic Book" w:hAnsi="Franklin Gothic Book"/>
        </w:rPr>
        <w:t xml:space="preserve"> any acronyms, and </w:t>
      </w:r>
      <w:r w:rsidRPr="0042581F">
        <w:rPr>
          <w:rFonts w:ascii="Franklin Gothic Book" w:hAnsi="Franklin Gothic Book"/>
          <w:b/>
          <w:bCs/>
        </w:rPr>
        <w:t>4)</w:t>
      </w:r>
      <w:r>
        <w:rPr>
          <w:rFonts w:ascii="Franklin Gothic Book" w:hAnsi="Franklin Gothic Book"/>
        </w:rPr>
        <w:t xml:space="preserve"> transition words</w:t>
      </w:r>
    </w:p>
    <w:bookmarkEnd w:id="0"/>
    <w:p w14:paraId="6134AAE9" w14:textId="77777777" w:rsidR="005111AE" w:rsidRDefault="005111AE" w:rsidP="005111AE">
      <w:pPr>
        <w:rPr>
          <w:rFonts w:ascii="Franklin Gothic Book" w:hAnsi="Franklin Gothic Book"/>
        </w:rPr>
      </w:pPr>
    </w:p>
    <w:p w14:paraId="3C8D93D2" w14:textId="77777777" w:rsidR="005111AE" w:rsidRPr="0042581F" w:rsidRDefault="005111AE" w:rsidP="005111AE">
      <w:pPr>
        <w:spacing w:line="360" w:lineRule="auto"/>
        <w:rPr>
          <w:rFonts w:ascii="Franklin Gothic Book" w:hAnsi="Franklin Gothic Book"/>
        </w:rPr>
      </w:pPr>
      <w:r w:rsidRPr="0042581F">
        <w:rPr>
          <w:rFonts w:ascii="Franklin Gothic Book" w:hAnsi="Franklin Gothic Book"/>
        </w:rPr>
        <w:t>Selective area epitaxy of magnesium oxide thin films on gallium nitride surfaces</w:t>
      </w:r>
    </w:p>
    <w:p w14:paraId="1E6CBDB3" w14:textId="77777777" w:rsidR="005111AE" w:rsidRDefault="005111AE" w:rsidP="005111AE">
      <w:pPr>
        <w:spacing w:line="360" w:lineRule="auto"/>
        <w:rPr>
          <w:rFonts w:ascii="Franklin Gothic Book" w:hAnsi="Franklin Gothic Book"/>
        </w:rPr>
      </w:pPr>
      <w:r w:rsidRPr="0042581F">
        <w:rPr>
          <w:rFonts w:ascii="Franklin Gothic Book" w:hAnsi="Franklin Gothic Book"/>
        </w:rPr>
        <w:t xml:space="preserve">Mark D. </w:t>
      </w:r>
      <w:proofErr w:type="spellStart"/>
      <w:r w:rsidRPr="0042581F">
        <w:rPr>
          <w:rFonts w:ascii="Franklin Gothic Book" w:hAnsi="Franklin Gothic Book"/>
        </w:rPr>
        <w:t>Losegoa</w:t>
      </w:r>
      <w:proofErr w:type="spellEnd"/>
      <w:r>
        <w:rPr>
          <w:rFonts w:ascii="Franklin Gothic Book" w:hAnsi="Franklin Gothic Book"/>
        </w:rPr>
        <w:t xml:space="preserve"> and </w:t>
      </w:r>
      <w:r w:rsidRPr="0042581F">
        <w:rPr>
          <w:rFonts w:ascii="Franklin Gothic Book" w:hAnsi="Franklin Gothic Book"/>
        </w:rPr>
        <w:t>Elizabeth A. Paisley</w:t>
      </w:r>
    </w:p>
    <w:p w14:paraId="4CB650C5" w14:textId="77777777" w:rsidR="005111AE" w:rsidRDefault="005111AE" w:rsidP="005111AE">
      <w:pPr>
        <w:spacing w:line="360" w:lineRule="auto"/>
        <w:rPr>
          <w:rFonts w:ascii="Franklin Gothic Book" w:hAnsi="Franklin Gothic Book"/>
        </w:rPr>
      </w:pPr>
    </w:p>
    <w:p w14:paraId="0945801E" w14:textId="77777777" w:rsidR="005111AE" w:rsidRPr="0042581F" w:rsidRDefault="005111AE" w:rsidP="005111AE">
      <w:pPr>
        <w:spacing w:line="360" w:lineRule="auto"/>
        <w:rPr>
          <w:rFonts w:ascii="Franklin Gothic Book" w:hAnsi="Franklin Gothic Book"/>
        </w:rPr>
      </w:pPr>
      <w:r w:rsidRPr="0042581F">
        <w:rPr>
          <w:rFonts w:ascii="Franklin Gothic Book" w:hAnsi="Franklin Gothic Book"/>
        </w:rPr>
        <w:t>Selective area growth of thin films reduces the number of steps in microfabrication processing and</w:t>
      </w:r>
    </w:p>
    <w:p w14:paraId="4A50BD9D" w14:textId="77777777" w:rsidR="005111AE" w:rsidRPr="0042581F" w:rsidRDefault="005111AE" w:rsidP="005111AE">
      <w:pPr>
        <w:spacing w:line="360" w:lineRule="auto"/>
        <w:rPr>
          <w:rFonts w:ascii="Franklin Gothic Book" w:hAnsi="Franklin Gothic Book"/>
        </w:rPr>
      </w:pPr>
      <w:r w:rsidRPr="0042581F">
        <w:rPr>
          <w:rFonts w:ascii="Franklin Gothic Book" w:hAnsi="Franklin Gothic Book"/>
        </w:rPr>
        <w:t>enables novel device structures. Here, we report, for the first time, selective area epitaxy of an</w:t>
      </w:r>
    </w:p>
    <w:p w14:paraId="16870B27" w14:textId="77777777" w:rsidR="005111AE" w:rsidRPr="0042581F" w:rsidRDefault="005111AE" w:rsidP="005111AE">
      <w:pPr>
        <w:spacing w:line="360" w:lineRule="auto"/>
        <w:rPr>
          <w:rFonts w:ascii="Franklin Gothic Book" w:hAnsi="Franklin Gothic Book"/>
        </w:rPr>
      </w:pPr>
      <w:r w:rsidRPr="0042581F">
        <w:rPr>
          <w:rFonts w:ascii="Franklin Gothic Book" w:hAnsi="Franklin Gothic Book"/>
        </w:rPr>
        <w:t xml:space="preserve">oxide material on a </w:t>
      </w:r>
      <w:proofErr w:type="spellStart"/>
      <w:r w:rsidRPr="0042581F">
        <w:rPr>
          <w:rFonts w:ascii="Franklin Gothic Book" w:hAnsi="Franklin Gothic Book"/>
        </w:rPr>
        <w:t>GaN</w:t>
      </w:r>
      <w:proofErr w:type="spellEnd"/>
      <w:r w:rsidRPr="0042581F">
        <w:rPr>
          <w:rFonts w:ascii="Franklin Gothic Book" w:hAnsi="Franklin Gothic Book"/>
        </w:rPr>
        <w:t xml:space="preserve"> surface. Chlorination of the </w:t>
      </w:r>
      <w:proofErr w:type="spellStart"/>
      <w:r w:rsidRPr="0042581F">
        <w:rPr>
          <w:rFonts w:ascii="Franklin Gothic Book" w:hAnsi="Franklin Gothic Book"/>
        </w:rPr>
        <w:t>GaN</w:t>
      </w:r>
      <w:proofErr w:type="spellEnd"/>
      <w:r w:rsidRPr="0042581F">
        <w:rPr>
          <w:rFonts w:ascii="Franklin Gothic Book" w:hAnsi="Franklin Gothic Book"/>
        </w:rPr>
        <w:t xml:space="preserve"> surface via wet chemical processing is</w:t>
      </w:r>
    </w:p>
    <w:p w14:paraId="55C385D9" w14:textId="77777777" w:rsidR="005111AE" w:rsidRPr="0042581F" w:rsidRDefault="005111AE" w:rsidP="005111AE">
      <w:pPr>
        <w:spacing w:line="360" w:lineRule="auto"/>
        <w:rPr>
          <w:rFonts w:ascii="Franklin Gothic Book" w:hAnsi="Franklin Gothic Book"/>
        </w:rPr>
      </w:pPr>
      <w:r w:rsidRPr="0042581F">
        <w:rPr>
          <w:rFonts w:ascii="Franklin Gothic Book" w:hAnsi="Franklin Gothic Book"/>
        </w:rPr>
        <w:t>found effective to disrupt Mg adsorption and selectively prevent molecular beam epitaxy growth</w:t>
      </w:r>
    </w:p>
    <w:p w14:paraId="48F2B5E4" w14:textId="77777777" w:rsidR="005111AE" w:rsidRPr="0042581F" w:rsidRDefault="005111AE" w:rsidP="005111AE">
      <w:pPr>
        <w:spacing w:line="360" w:lineRule="auto"/>
        <w:rPr>
          <w:rFonts w:ascii="Franklin Gothic Book" w:hAnsi="Franklin Gothic Book"/>
        </w:rPr>
      </w:pPr>
      <w:r w:rsidRPr="0042581F">
        <w:rPr>
          <w:rFonts w:ascii="Franklin Gothic Book" w:hAnsi="Franklin Gothic Book"/>
        </w:rPr>
        <w:t>of MgO. MgO films grown on neighboring, non</w:t>
      </w:r>
      <w:r>
        <w:rPr>
          <w:rFonts w:ascii="Franklin Gothic Book" w:hAnsi="Franklin Gothic Book"/>
        </w:rPr>
        <w:t>-</w:t>
      </w:r>
      <w:r w:rsidRPr="0042581F">
        <w:rPr>
          <w:rFonts w:ascii="Franklin Gothic Book" w:hAnsi="Franklin Gothic Book"/>
        </w:rPr>
        <w:t>chlorinated surfaces are epitaxial with a (111)</w:t>
      </w:r>
    </w:p>
    <w:p w14:paraId="2238C06D" w14:textId="77777777" w:rsidR="005111AE" w:rsidRPr="0042581F" w:rsidRDefault="005111AE" w:rsidP="005111AE">
      <w:pPr>
        <w:spacing w:line="360" w:lineRule="auto"/>
        <w:rPr>
          <w:rFonts w:ascii="Franklin Gothic Book" w:hAnsi="Franklin Gothic Book"/>
        </w:rPr>
      </w:pPr>
      <w:proofErr w:type="spellStart"/>
      <w:proofErr w:type="gramStart"/>
      <w:r w:rsidRPr="0042581F">
        <w:rPr>
          <w:rFonts w:ascii="Franklin Gothic Book" w:hAnsi="Franklin Gothic Book"/>
        </w:rPr>
        <w:t>MgOII</w:t>
      </w:r>
      <w:proofErr w:type="spellEnd"/>
      <w:r w:rsidRPr="0042581F">
        <w:rPr>
          <w:rFonts w:ascii="Franklin Gothic Book" w:hAnsi="Franklin Gothic Book"/>
        </w:rPr>
        <w:t>(</w:t>
      </w:r>
      <w:proofErr w:type="gramEnd"/>
      <w:r w:rsidRPr="0042581F">
        <w:rPr>
          <w:rFonts w:ascii="Franklin Gothic Book" w:hAnsi="Franklin Gothic Book"/>
        </w:rPr>
        <w:t xml:space="preserve">0001) </w:t>
      </w:r>
      <w:proofErr w:type="spellStart"/>
      <w:r w:rsidRPr="0042581F">
        <w:rPr>
          <w:rFonts w:ascii="Franklin Gothic Book" w:hAnsi="Franklin Gothic Book"/>
        </w:rPr>
        <w:t>GaN</w:t>
      </w:r>
      <w:proofErr w:type="spellEnd"/>
      <w:r w:rsidRPr="0042581F">
        <w:rPr>
          <w:rFonts w:ascii="Franklin Gothic Book" w:hAnsi="Franklin Gothic Book"/>
        </w:rPr>
        <w:t xml:space="preserve"> crystallographic relationship. Better than 3 µm lateral resolution for the</w:t>
      </w:r>
    </w:p>
    <w:p w14:paraId="763ACBD8" w14:textId="77777777" w:rsidR="005111AE" w:rsidRDefault="005111AE" w:rsidP="005111AE">
      <w:pPr>
        <w:spacing w:line="360" w:lineRule="auto"/>
        <w:rPr>
          <w:rFonts w:ascii="Franklin Gothic Book" w:hAnsi="Franklin Gothic Book"/>
        </w:rPr>
      </w:pPr>
      <w:r w:rsidRPr="0042581F">
        <w:rPr>
          <w:rFonts w:ascii="Franklin Gothic Book" w:hAnsi="Franklin Gothic Book"/>
        </w:rPr>
        <w:t xml:space="preserve">selective area growth of MgO on </w:t>
      </w:r>
      <w:proofErr w:type="spellStart"/>
      <w:r w:rsidRPr="0042581F">
        <w:rPr>
          <w:rFonts w:ascii="Franklin Gothic Book" w:hAnsi="Franklin Gothic Book"/>
        </w:rPr>
        <w:t>GaN</w:t>
      </w:r>
      <w:proofErr w:type="spellEnd"/>
      <w:r w:rsidRPr="0042581F">
        <w:rPr>
          <w:rFonts w:ascii="Franklin Gothic Book" w:hAnsi="Franklin Gothic Book"/>
        </w:rPr>
        <w:t xml:space="preserve"> is demonstrated.</w:t>
      </w:r>
    </w:p>
    <w:p w14:paraId="043FC1C6" w14:textId="48AB0ACA" w:rsidR="005111AE" w:rsidRDefault="005111AE" w:rsidP="00E7181C">
      <w:pPr>
        <w:pStyle w:val="Heading3"/>
        <w:rPr>
          <w:rFonts w:ascii="Franklin Gothic Book" w:hAnsi="Franklin Gothic Book"/>
          <w:color w:val="2F5496" w:themeColor="accent1" w:themeShade="BF"/>
          <w:sz w:val="26"/>
          <w:szCs w:val="26"/>
        </w:rPr>
      </w:pPr>
    </w:p>
    <w:p w14:paraId="64C9C1D2" w14:textId="2B1D7859" w:rsidR="005111AE" w:rsidRDefault="005111AE" w:rsidP="005111AE"/>
    <w:p w14:paraId="249EA6C1" w14:textId="75700B55" w:rsidR="005111AE" w:rsidRDefault="005111AE" w:rsidP="005111AE"/>
    <w:p w14:paraId="666FB82F" w14:textId="66F9CA19" w:rsidR="005111AE" w:rsidRDefault="005111AE" w:rsidP="005111AE"/>
    <w:p w14:paraId="17CB17EC" w14:textId="65616F5B" w:rsidR="005111AE" w:rsidRDefault="005111AE" w:rsidP="005111AE"/>
    <w:p w14:paraId="65F9DFDB" w14:textId="3E0DC0AE" w:rsidR="005111AE" w:rsidRDefault="005111AE" w:rsidP="005111AE"/>
    <w:p w14:paraId="30A5B12C" w14:textId="5F8AB648" w:rsidR="005111AE" w:rsidRDefault="005111AE" w:rsidP="005111AE"/>
    <w:p w14:paraId="677FC511" w14:textId="2BB80002" w:rsidR="005111AE" w:rsidRDefault="005111AE" w:rsidP="005111AE"/>
    <w:p w14:paraId="4CE5169B" w14:textId="0BA115E6" w:rsidR="005111AE" w:rsidRDefault="005111AE" w:rsidP="005111AE"/>
    <w:p w14:paraId="3DD1C703" w14:textId="33CC893E" w:rsidR="005111AE" w:rsidRDefault="005111AE" w:rsidP="005111AE"/>
    <w:p w14:paraId="48B9F07B" w14:textId="204B7A2C" w:rsidR="005111AE" w:rsidRDefault="005111AE" w:rsidP="005111AE"/>
    <w:p w14:paraId="0A9ABB83" w14:textId="77777777" w:rsidR="005111AE" w:rsidRPr="005111AE" w:rsidRDefault="005111AE" w:rsidP="005111AE"/>
    <w:p w14:paraId="2B236813" w14:textId="77777777" w:rsidR="005111AE" w:rsidRDefault="005111AE" w:rsidP="00E7181C">
      <w:pPr>
        <w:pStyle w:val="Heading3"/>
        <w:rPr>
          <w:rFonts w:ascii="Franklin Gothic Book" w:hAnsi="Franklin Gothic Book"/>
          <w:color w:val="2F5496" w:themeColor="accent1" w:themeShade="BF"/>
          <w:sz w:val="26"/>
          <w:szCs w:val="26"/>
        </w:rPr>
      </w:pPr>
    </w:p>
    <w:p w14:paraId="261268E7" w14:textId="4F0714EE" w:rsidR="007E4D89" w:rsidRPr="008E6013" w:rsidRDefault="00CC2A5B" w:rsidP="008E6013">
      <w:pPr>
        <w:pStyle w:val="Heading2"/>
        <w:rPr>
          <w:rFonts w:ascii="Franklin Gothic Book" w:hAnsi="Franklin Gothic Book"/>
        </w:rPr>
      </w:pPr>
      <w:r w:rsidRPr="008E6013">
        <w:rPr>
          <w:rFonts w:ascii="Franklin Gothic Book" w:hAnsi="Franklin Gothic Book"/>
        </w:rPr>
        <w:t xml:space="preserve">Exercise </w:t>
      </w:r>
      <w:r w:rsidR="005111AE" w:rsidRPr="008E6013">
        <w:rPr>
          <w:rFonts w:ascii="Franklin Gothic Book" w:hAnsi="Franklin Gothic Book"/>
        </w:rPr>
        <w:t>3</w:t>
      </w:r>
      <w:r w:rsidR="00E7181C" w:rsidRPr="008E6013">
        <w:rPr>
          <w:rFonts w:ascii="Franklin Gothic Book" w:hAnsi="Franklin Gothic Book"/>
        </w:rPr>
        <w:t xml:space="preserve"> (Writing Abstracts slides 2</w:t>
      </w:r>
      <w:r w:rsidR="008E6013">
        <w:rPr>
          <w:rFonts w:ascii="Franklin Gothic Book" w:hAnsi="Franklin Gothic Book"/>
        </w:rPr>
        <w:t>8</w:t>
      </w:r>
      <w:r w:rsidR="00E7181C" w:rsidRPr="008E6013">
        <w:rPr>
          <w:rFonts w:ascii="Franklin Gothic Book" w:hAnsi="Franklin Gothic Book"/>
        </w:rPr>
        <w:t xml:space="preserve"> – 3</w:t>
      </w:r>
      <w:r w:rsidR="008E6013">
        <w:rPr>
          <w:rFonts w:ascii="Franklin Gothic Book" w:hAnsi="Franklin Gothic Book"/>
        </w:rPr>
        <w:t>0</w:t>
      </w:r>
      <w:r w:rsidR="00E7181C" w:rsidRPr="008E6013">
        <w:rPr>
          <w:rFonts w:ascii="Franklin Gothic Book" w:hAnsi="Franklin Gothic Book"/>
        </w:rPr>
        <w:t xml:space="preserve">, </w:t>
      </w:r>
      <w:r w:rsidR="008E6013">
        <w:rPr>
          <w:rFonts w:ascii="Franklin Gothic Book" w:hAnsi="Franklin Gothic Book"/>
        </w:rPr>
        <w:t>38</w:t>
      </w:r>
      <w:r w:rsidR="00E7181C" w:rsidRPr="008E6013">
        <w:rPr>
          <w:rFonts w:ascii="Franklin Gothic Book" w:hAnsi="Franklin Gothic Book"/>
        </w:rPr>
        <w:t>)</w:t>
      </w:r>
    </w:p>
    <w:p w14:paraId="576B9DEB" w14:textId="56962633" w:rsidR="00CC2A5B" w:rsidRDefault="00CC2A5B">
      <w:pPr>
        <w:rPr>
          <w:rFonts w:ascii="Franklin Gothic Book" w:hAnsi="Franklin Gothic Book"/>
          <w:b/>
          <w:bCs/>
        </w:rPr>
      </w:pPr>
    </w:p>
    <w:p w14:paraId="59444698" w14:textId="584C8CB0" w:rsidR="00CC2A5B" w:rsidRDefault="00B1082F">
      <w:pPr>
        <w:rPr>
          <w:rFonts w:ascii="Franklin Gothic Book" w:hAnsi="Franklin Gothic Book"/>
        </w:rPr>
      </w:pPr>
      <w:r>
        <w:rPr>
          <w:rFonts w:ascii="Franklin Gothic Book" w:hAnsi="Franklin Gothic Book"/>
        </w:rPr>
        <w:t xml:space="preserve">In the abstract below, identify </w:t>
      </w:r>
      <w:r w:rsidRPr="0042581F">
        <w:rPr>
          <w:rFonts w:ascii="Franklin Gothic Book" w:hAnsi="Franklin Gothic Book"/>
          <w:b/>
          <w:bCs/>
        </w:rPr>
        <w:t>1)</w:t>
      </w:r>
      <w:r>
        <w:rPr>
          <w:rFonts w:ascii="Franklin Gothic Book" w:hAnsi="Franklin Gothic Book"/>
        </w:rPr>
        <w:t xml:space="preserve"> the introduction, methods, results, and conclusion sections, </w:t>
      </w:r>
      <w:r w:rsidRPr="0042581F">
        <w:rPr>
          <w:rFonts w:ascii="Franklin Gothic Book" w:hAnsi="Franklin Gothic Book"/>
          <w:b/>
          <w:bCs/>
        </w:rPr>
        <w:t>2)</w:t>
      </w:r>
      <w:r>
        <w:rPr>
          <w:rFonts w:ascii="Franklin Gothic Book" w:hAnsi="Franklin Gothic Book"/>
        </w:rPr>
        <w:t xml:space="preserve"> number of sentences, </w:t>
      </w:r>
      <w:r w:rsidRPr="0042581F">
        <w:rPr>
          <w:rFonts w:ascii="Franklin Gothic Book" w:hAnsi="Franklin Gothic Book"/>
          <w:b/>
          <w:bCs/>
        </w:rPr>
        <w:t>3)</w:t>
      </w:r>
      <w:r>
        <w:rPr>
          <w:rFonts w:ascii="Franklin Gothic Book" w:hAnsi="Franklin Gothic Book"/>
        </w:rPr>
        <w:t xml:space="preserve"> any acronyms, and </w:t>
      </w:r>
      <w:r w:rsidRPr="0042581F">
        <w:rPr>
          <w:rFonts w:ascii="Franklin Gothic Book" w:hAnsi="Franklin Gothic Book"/>
          <w:b/>
          <w:bCs/>
        </w:rPr>
        <w:t>4)</w:t>
      </w:r>
      <w:r>
        <w:rPr>
          <w:rFonts w:ascii="Franklin Gothic Book" w:hAnsi="Franklin Gothic Book"/>
        </w:rPr>
        <w:t xml:space="preserve"> transition words</w:t>
      </w:r>
    </w:p>
    <w:p w14:paraId="2675E541" w14:textId="13E8B520" w:rsidR="00B1082F" w:rsidRDefault="00B1082F">
      <w:pPr>
        <w:rPr>
          <w:rFonts w:ascii="Franklin Gothic Book" w:hAnsi="Franklin Gothic Book"/>
        </w:rPr>
      </w:pPr>
    </w:p>
    <w:p w14:paraId="45BEC796" w14:textId="77777777" w:rsidR="00B1082F" w:rsidRPr="00B1082F" w:rsidRDefault="00B1082F" w:rsidP="00B1082F">
      <w:pPr>
        <w:spacing w:line="360" w:lineRule="auto"/>
        <w:rPr>
          <w:rFonts w:ascii="Franklin Gothic Book" w:hAnsi="Franklin Gothic Book"/>
        </w:rPr>
      </w:pPr>
      <w:r w:rsidRPr="00B1082F">
        <w:rPr>
          <w:rFonts w:ascii="Franklin Gothic Book" w:hAnsi="Franklin Gothic Book"/>
        </w:rPr>
        <w:t xml:space="preserve">Biochar increases nitrate removal capacity of woodchip biofilters during high-intensity rainfall </w:t>
      </w:r>
    </w:p>
    <w:p w14:paraId="42FBB24A" w14:textId="76DA1FA1" w:rsidR="00B1082F" w:rsidRPr="00B1082F" w:rsidRDefault="00B1082F" w:rsidP="00B1082F">
      <w:pPr>
        <w:spacing w:line="360" w:lineRule="auto"/>
        <w:rPr>
          <w:rFonts w:ascii="Franklin Gothic Book" w:hAnsi="Franklin Gothic Book"/>
        </w:rPr>
      </w:pPr>
      <w:r w:rsidRPr="00B1082F">
        <w:rPr>
          <w:rFonts w:ascii="Franklin Gothic Book" w:hAnsi="Franklin Gothic Book"/>
        </w:rPr>
        <w:t xml:space="preserve">Alexander W. Berger, Renan </w:t>
      </w:r>
      <w:proofErr w:type="spellStart"/>
      <w:r w:rsidRPr="00B1082F">
        <w:rPr>
          <w:rFonts w:ascii="Franklin Gothic Book" w:hAnsi="Franklin Gothic Book"/>
        </w:rPr>
        <w:t>Valenca</w:t>
      </w:r>
      <w:proofErr w:type="spellEnd"/>
      <w:r w:rsidRPr="00B1082F">
        <w:rPr>
          <w:rFonts w:ascii="Franklin Gothic Book" w:hAnsi="Franklin Gothic Book"/>
        </w:rPr>
        <w:t xml:space="preserve">, Yu Miao, Sujith Ravi, </w:t>
      </w:r>
      <w:proofErr w:type="spellStart"/>
      <w:r w:rsidRPr="00B1082F">
        <w:rPr>
          <w:rFonts w:ascii="Franklin Gothic Book" w:hAnsi="Franklin Gothic Book"/>
        </w:rPr>
        <w:t>Shaily</w:t>
      </w:r>
      <w:proofErr w:type="spellEnd"/>
      <w:r w:rsidRPr="00B1082F">
        <w:rPr>
          <w:rFonts w:ascii="Franklin Gothic Book" w:hAnsi="Franklin Gothic Book"/>
        </w:rPr>
        <w:t xml:space="preserve"> </w:t>
      </w:r>
      <w:proofErr w:type="spellStart"/>
      <w:r w:rsidRPr="00B1082F">
        <w:rPr>
          <w:rFonts w:ascii="Franklin Gothic Book" w:hAnsi="Franklin Gothic Book"/>
        </w:rPr>
        <w:t>Mahendra</w:t>
      </w:r>
      <w:proofErr w:type="spellEnd"/>
      <w:r w:rsidRPr="00B1082F">
        <w:rPr>
          <w:rFonts w:ascii="Franklin Gothic Book" w:hAnsi="Franklin Gothic Book"/>
        </w:rPr>
        <w:t xml:space="preserve">, Sanjay K. Mohanty </w:t>
      </w:r>
    </w:p>
    <w:p w14:paraId="61793D2D" w14:textId="28FC5275" w:rsidR="00B1082F" w:rsidRDefault="00B1082F">
      <w:pPr>
        <w:rPr>
          <w:rFonts w:ascii="Franklin Gothic Book" w:hAnsi="Franklin Gothic Book"/>
        </w:rPr>
      </w:pPr>
    </w:p>
    <w:p w14:paraId="72F42CCA" w14:textId="79098D5B" w:rsidR="00B1082F" w:rsidRDefault="00B1082F" w:rsidP="00B1082F">
      <w:pPr>
        <w:spacing w:line="360" w:lineRule="auto"/>
        <w:rPr>
          <w:rFonts w:ascii="Franklin Gothic Book" w:hAnsi="Franklin Gothic Book"/>
        </w:rPr>
      </w:pPr>
      <w:r w:rsidRPr="00B1082F">
        <w:rPr>
          <w:rFonts w:ascii="Franklin Gothic Book" w:hAnsi="Franklin Gothic Book"/>
        </w:rPr>
        <w:t>Stormwater biofilters have been increasingly used to mitigate the impact of climate change on the export of contaminants including nitrate to water bodies. Yet, their performance is rarely tested under high intensity rainfall events, which are predicted to occur more frequently under climate change scenarios. We examined the potential of biochar to improve the resilience of woodchip biofilters under simulated high-intensity rainfall events and linked denitrification to biochar-mediated changes in hydrological (physical), chemical, and biological properties of woodchip biofilters. Results showed that nitrate removal capacity of woodchip biofilters decreased with increases in rainfall intensity or duration and decreases in antecedent drying time. However, adding biochar to woodchips significantly decreased the exhaustion rate of woodchips, only when the hydraulic residence time (HRT) was less than 5 h. At longer HRT (&gt;5 h), the benefits of biochar became less apparent. We attributed the improved denitrification during high nitrate loading to biochar's ability to decrease dissolved oxygen in pore water and increase water holding capacity and retention of dissolved organic carbon and nitrate, all of which could increase nitrate utilization. Biochar increased the net microbial biomass but did not affect the relative abundance of denitrifying genes, which indicates that a shift in microbial biomass could not fully explain the observed increase in nitrate removal in biochar-augmented woodchip biofilters. Overall, the results showed that biochar could increase the resiliency of woodchip biofilters for denitrification in high intensity rainfall events, a worst-case scenario, thereby mitigating the water quality degradation during climate change.</w:t>
      </w:r>
    </w:p>
    <w:p w14:paraId="7E80C4BB" w14:textId="2D0830B2" w:rsidR="0042581F" w:rsidRDefault="0042581F" w:rsidP="00B1082F">
      <w:pPr>
        <w:spacing w:line="360" w:lineRule="auto"/>
        <w:rPr>
          <w:rFonts w:ascii="Franklin Gothic Book" w:hAnsi="Franklin Gothic Book"/>
        </w:rPr>
      </w:pPr>
    </w:p>
    <w:p w14:paraId="2E40F2C2" w14:textId="0CADCB01" w:rsidR="0042581F" w:rsidRDefault="0042581F" w:rsidP="00B1082F">
      <w:pPr>
        <w:spacing w:line="360" w:lineRule="auto"/>
        <w:rPr>
          <w:rFonts w:ascii="Franklin Gothic Book" w:hAnsi="Franklin Gothic Book"/>
        </w:rPr>
      </w:pPr>
    </w:p>
    <w:p w14:paraId="0251A6A1" w14:textId="117229FC" w:rsidR="0042581F" w:rsidRDefault="0042581F" w:rsidP="00B1082F">
      <w:pPr>
        <w:spacing w:line="360" w:lineRule="auto"/>
        <w:rPr>
          <w:rFonts w:ascii="Franklin Gothic Book" w:hAnsi="Franklin Gothic Book"/>
        </w:rPr>
      </w:pPr>
    </w:p>
    <w:p w14:paraId="10A86F89" w14:textId="28CB9836" w:rsidR="0042581F" w:rsidRDefault="0042581F" w:rsidP="0042581F">
      <w:pPr>
        <w:spacing w:line="360" w:lineRule="auto"/>
        <w:rPr>
          <w:rFonts w:ascii="Franklin Gothic Book" w:hAnsi="Franklin Gothic Book"/>
        </w:rPr>
      </w:pPr>
    </w:p>
    <w:p w14:paraId="0DA0B173" w14:textId="10B6A380" w:rsidR="0042581F" w:rsidRPr="008E6013" w:rsidRDefault="0042581F" w:rsidP="008E6013">
      <w:pPr>
        <w:pStyle w:val="Heading2"/>
        <w:rPr>
          <w:rFonts w:ascii="Franklin Gothic Book" w:hAnsi="Franklin Gothic Book"/>
        </w:rPr>
      </w:pPr>
      <w:r w:rsidRPr="008E6013">
        <w:rPr>
          <w:rFonts w:ascii="Franklin Gothic Book" w:hAnsi="Franklin Gothic Book"/>
        </w:rPr>
        <w:lastRenderedPageBreak/>
        <w:t>Exercise 4</w:t>
      </w:r>
      <w:r w:rsidR="000804EC" w:rsidRPr="008E6013">
        <w:rPr>
          <w:rFonts w:ascii="Franklin Gothic Book" w:hAnsi="Franklin Gothic Book"/>
        </w:rPr>
        <w:t xml:space="preserve"> (Additional practice)</w:t>
      </w:r>
    </w:p>
    <w:p w14:paraId="68C437FB" w14:textId="77777777" w:rsidR="0042581F" w:rsidRPr="0042581F" w:rsidRDefault="0042581F" w:rsidP="0042581F">
      <w:pPr>
        <w:spacing w:line="360" w:lineRule="auto"/>
        <w:rPr>
          <w:rFonts w:ascii="Franklin Gothic Book" w:hAnsi="Franklin Gothic Book"/>
        </w:rPr>
      </w:pPr>
    </w:p>
    <w:p w14:paraId="259B275C" w14:textId="6397B2BB" w:rsidR="0042581F" w:rsidRDefault="0042581F" w:rsidP="0042581F">
      <w:pPr>
        <w:spacing w:line="360" w:lineRule="auto"/>
        <w:rPr>
          <w:rFonts w:ascii="Franklin Gothic Book" w:hAnsi="Franklin Gothic Book"/>
        </w:rPr>
      </w:pPr>
      <w:r w:rsidRPr="0042581F">
        <w:rPr>
          <w:rFonts w:ascii="Franklin Gothic Book" w:hAnsi="Franklin Gothic Book"/>
        </w:rPr>
        <w:t xml:space="preserve">In the abstract below, identify </w:t>
      </w:r>
      <w:r w:rsidRPr="0042581F">
        <w:rPr>
          <w:rFonts w:ascii="Franklin Gothic Book" w:hAnsi="Franklin Gothic Book"/>
          <w:b/>
          <w:bCs/>
        </w:rPr>
        <w:t>1)</w:t>
      </w:r>
      <w:r w:rsidRPr="0042581F">
        <w:rPr>
          <w:rFonts w:ascii="Franklin Gothic Book" w:hAnsi="Franklin Gothic Book"/>
        </w:rPr>
        <w:t xml:space="preserve"> the introduction, methods, results, and conclusion sections, </w:t>
      </w:r>
      <w:r w:rsidRPr="0042581F">
        <w:rPr>
          <w:rFonts w:ascii="Franklin Gothic Book" w:hAnsi="Franklin Gothic Book"/>
          <w:b/>
          <w:bCs/>
        </w:rPr>
        <w:t>2)</w:t>
      </w:r>
      <w:r w:rsidRPr="0042581F">
        <w:rPr>
          <w:rFonts w:ascii="Franklin Gothic Book" w:hAnsi="Franklin Gothic Book"/>
        </w:rPr>
        <w:t xml:space="preserve"> number of sentences, </w:t>
      </w:r>
      <w:r w:rsidRPr="0042581F">
        <w:rPr>
          <w:rFonts w:ascii="Franklin Gothic Book" w:hAnsi="Franklin Gothic Book"/>
          <w:b/>
          <w:bCs/>
        </w:rPr>
        <w:t>3)</w:t>
      </w:r>
      <w:r w:rsidRPr="0042581F">
        <w:rPr>
          <w:rFonts w:ascii="Franklin Gothic Book" w:hAnsi="Franklin Gothic Book"/>
        </w:rPr>
        <w:t xml:space="preserve"> any acronyms, and </w:t>
      </w:r>
      <w:r w:rsidRPr="0042581F">
        <w:rPr>
          <w:rFonts w:ascii="Franklin Gothic Book" w:hAnsi="Franklin Gothic Book"/>
          <w:b/>
          <w:bCs/>
        </w:rPr>
        <w:t>4)</w:t>
      </w:r>
      <w:r w:rsidRPr="0042581F">
        <w:rPr>
          <w:rFonts w:ascii="Franklin Gothic Book" w:hAnsi="Franklin Gothic Book"/>
        </w:rPr>
        <w:t xml:space="preserve"> transition words</w:t>
      </w:r>
    </w:p>
    <w:p w14:paraId="4DB09383" w14:textId="0A17F1CB" w:rsidR="0042581F" w:rsidRDefault="0042581F" w:rsidP="0042581F">
      <w:pPr>
        <w:spacing w:line="360" w:lineRule="auto"/>
        <w:rPr>
          <w:rFonts w:ascii="Franklin Gothic Book" w:hAnsi="Franklin Gothic Book"/>
        </w:rPr>
      </w:pPr>
    </w:p>
    <w:p w14:paraId="24C2E16F" w14:textId="77777777" w:rsidR="0042581F" w:rsidRPr="0042581F" w:rsidRDefault="0042581F" w:rsidP="0042581F">
      <w:pPr>
        <w:spacing w:line="360" w:lineRule="auto"/>
        <w:rPr>
          <w:rFonts w:ascii="Franklin Gothic Book" w:hAnsi="Franklin Gothic Book"/>
        </w:rPr>
      </w:pPr>
      <w:r w:rsidRPr="0042581F">
        <w:rPr>
          <w:rFonts w:ascii="Franklin Gothic Book" w:hAnsi="Franklin Gothic Book"/>
        </w:rPr>
        <w:t>Role of chemotaxis in the transport of bacteria through saturated porous media</w:t>
      </w:r>
    </w:p>
    <w:p w14:paraId="53A3AD1F" w14:textId="110AB1A7" w:rsidR="0042581F" w:rsidRDefault="0042581F" w:rsidP="0042581F">
      <w:pPr>
        <w:spacing w:line="360" w:lineRule="auto"/>
        <w:rPr>
          <w:rFonts w:ascii="Franklin Gothic Book" w:hAnsi="Franklin Gothic Book"/>
        </w:rPr>
      </w:pPr>
      <w:r w:rsidRPr="0042581F">
        <w:rPr>
          <w:rFonts w:ascii="Franklin Gothic Book" w:hAnsi="Franklin Gothic Book"/>
        </w:rPr>
        <w:t>Roseanne M. Ford</w:t>
      </w:r>
      <w:r>
        <w:rPr>
          <w:rFonts w:ascii="Franklin Gothic Book" w:hAnsi="Franklin Gothic Book"/>
        </w:rPr>
        <w:t xml:space="preserve"> and</w:t>
      </w:r>
      <w:r w:rsidRPr="0042581F">
        <w:rPr>
          <w:rFonts w:ascii="Franklin Gothic Book" w:hAnsi="Franklin Gothic Book"/>
        </w:rPr>
        <w:t xml:space="preserve"> Ronald W. Harvey</w:t>
      </w:r>
    </w:p>
    <w:p w14:paraId="624E0079" w14:textId="6575139F" w:rsidR="0042581F" w:rsidRDefault="0042581F" w:rsidP="0042581F">
      <w:pPr>
        <w:spacing w:line="360" w:lineRule="auto"/>
        <w:rPr>
          <w:rFonts w:ascii="Franklin Gothic Book" w:hAnsi="Franklin Gothic Book"/>
        </w:rPr>
      </w:pPr>
    </w:p>
    <w:p w14:paraId="577EA9A8" w14:textId="58892C41" w:rsidR="0042581F" w:rsidRDefault="0042581F" w:rsidP="0042581F">
      <w:pPr>
        <w:spacing w:line="360" w:lineRule="auto"/>
        <w:rPr>
          <w:rFonts w:ascii="Franklin Gothic Book" w:hAnsi="Franklin Gothic Book"/>
        </w:rPr>
      </w:pPr>
      <w:r w:rsidRPr="0042581F">
        <w:rPr>
          <w:rFonts w:ascii="Franklin Gothic Book" w:hAnsi="Franklin Gothic Book"/>
        </w:rPr>
        <w:t>Populations of chemotactic bacteria are able to sense and respond to chemical gradients in their surroundings and direct their migration toward increasing concentrations of chemicals that they perceive to be beneficial to their survival. It has been suggested that this phenomenon may facilitate bioremediation processes by bringing bacteria into closer proximity to the chemical contaminants that they degrade. To determine the significance of chemotaxis in these processes</w:t>
      </w:r>
      <w:r>
        <w:rPr>
          <w:rFonts w:ascii="Franklin Gothic Book" w:hAnsi="Franklin Gothic Book"/>
        </w:rPr>
        <w:t>,</w:t>
      </w:r>
      <w:r w:rsidRPr="0042581F">
        <w:rPr>
          <w:rFonts w:ascii="Franklin Gothic Book" w:hAnsi="Franklin Gothic Book"/>
        </w:rPr>
        <w:t xml:space="preserve"> it is necessary to quantify the magnitude of the response and compare it to other groundwater processes that affect the fate and transport of bacteria. We present a systematic approach toward quantifying the chemotactic response of bacteria in laboratory scale experiments by starting with simple, well-defined systems and gradually increasing their complexity. Swimming properties of individual cells were assessed from trajectories recorded by a tracking microscope. These properties were used to calculate motility and chemotaxis coefficients of bacterial populations in bulk aqueous media which were compared to experimental results of diffusion studies. Then effective values of motility and chemotaxis coefficients in single pores, pore networks and packed columns were analyzed. These were used to estimate the magnitude of the chemotactic response in porous media and to compare with dispersion coefficients reported in the field. This represents a compilation of many studies over a number of years. While there are certainly limitations with this approach for ultimately quantifying motility and chemotaxis in granular aquifer media, it does provide insight into what order of magnitude responses are possible and which characteristics of the bacteria and media are expected to be important.</w:t>
      </w:r>
    </w:p>
    <w:p w14:paraId="2173A1FE" w14:textId="6C1A41B9" w:rsidR="0042581F" w:rsidRDefault="0042581F" w:rsidP="0042581F">
      <w:pPr>
        <w:spacing w:line="360" w:lineRule="auto"/>
        <w:rPr>
          <w:rFonts w:ascii="Franklin Gothic Book" w:hAnsi="Franklin Gothic Book"/>
        </w:rPr>
      </w:pPr>
    </w:p>
    <w:p w14:paraId="465835BE" w14:textId="41128447" w:rsidR="0042581F" w:rsidRDefault="0042581F" w:rsidP="0042581F">
      <w:pPr>
        <w:spacing w:line="360" w:lineRule="auto"/>
        <w:rPr>
          <w:rFonts w:ascii="Franklin Gothic Book" w:hAnsi="Franklin Gothic Book"/>
        </w:rPr>
      </w:pPr>
    </w:p>
    <w:p w14:paraId="497EB8D8" w14:textId="77777777" w:rsidR="0042581F" w:rsidRPr="00B1082F" w:rsidRDefault="0042581F" w:rsidP="0042581F">
      <w:pPr>
        <w:spacing w:line="360" w:lineRule="auto"/>
        <w:rPr>
          <w:rFonts w:ascii="Franklin Gothic Book" w:hAnsi="Franklin Gothic Book"/>
        </w:rPr>
      </w:pPr>
    </w:p>
    <w:sectPr w:rsidR="0042581F" w:rsidRPr="00B10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8E"/>
    <w:rsid w:val="00055079"/>
    <w:rsid w:val="000804EC"/>
    <w:rsid w:val="0042581F"/>
    <w:rsid w:val="005111AE"/>
    <w:rsid w:val="007D4B0C"/>
    <w:rsid w:val="007E4D89"/>
    <w:rsid w:val="008E6013"/>
    <w:rsid w:val="0099008E"/>
    <w:rsid w:val="00AC4B63"/>
    <w:rsid w:val="00B1082F"/>
    <w:rsid w:val="00CC2A5B"/>
    <w:rsid w:val="00E7181C"/>
    <w:rsid w:val="00FD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2EC8"/>
  <w15:chartTrackingRefBased/>
  <w15:docId w15:val="{919137AC-A8BA-4356-9620-6D2D1061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A5B"/>
  </w:style>
  <w:style w:type="paragraph" w:styleId="Heading1">
    <w:name w:val="heading 1"/>
    <w:basedOn w:val="Normal"/>
    <w:next w:val="Normal"/>
    <w:link w:val="Heading1Char"/>
    <w:uiPriority w:val="9"/>
    <w:qFormat/>
    <w:rsid w:val="007D4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4B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18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718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7181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2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D4B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4B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7181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7181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7181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99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Dunham</dc:creator>
  <cp:keywords/>
  <dc:description/>
  <cp:lastModifiedBy>Kelly Dunham</cp:lastModifiedBy>
  <cp:revision>2</cp:revision>
  <dcterms:created xsi:type="dcterms:W3CDTF">2022-07-21T21:38:00Z</dcterms:created>
  <dcterms:modified xsi:type="dcterms:W3CDTF">2022-07-21T21:38:00Z</dcterms:modified>
</cp:coreProperties>
</file>